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3929E" w14:textId="77777777" w:rsidR="00AD6E02" w:rsidRDefault="00000000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Georgia" w:eastAsia="Georgia" w:hAnsi="Georgia" w:cs="Georgia"/>
          <w:b/>
          <w:bCs/>
          <w:noProof/>
          <w:color w:val="111111"/>
          <w:sz w:val="24"/>
          <w:szCs w:val="24"/>
          <w:highlight w:val="white"/>
        </w:rPr>
        <w:drawing>
          <wp:inline distT="0" distB="0" distL="0" distR="0" wp14:anchorId="1240E17A" wp14:editId="5E16C6F5">
            <wp:extent cx="1438910" cy="14446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1444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BC54B1" w14:textId="77777777" w:rsidR="00AD6E02" w:rsidRDefault="00000000">
      <w:pPr>
        <w:spacing w:after="0" w:line="240" w:lineRule="auto"/>
        <w:jc w:val="center"/>
        <w:rPr>
          <w:rFonts w:ascii="Georgia" w:eastAsia="Georgia" w:hAnsi="Georgia" w:cs="Georgia"/>
          <w:b/>
          <w:bCs/>
          <w:color w:val="111111"/>
          <w:sz w:val="24"/>
          <w:szCs w:val="24"/>
          <w:highlight w:val="white"/>
        </w:rPr>
      </w:pPr>
      <w:r>
        <w:rPr>
          <w:rFonts w:ascii="Georgia" w:eastAsia="Georgia" w:hAnsi="Georgia" w:cs="Georgia"/>
          <w:b/>
          <w:bCs/>
          <w:color w:val="111111"/>
          <w:sz w:val="24"/>
          <w:szCs w:val="24"/>
          <w:highlight w:val="white"/>
        </w:rPr>
        <w:t>TÜRK AKADEMİK YAYINLAR DERGİSİ (TAY JOURNAL)</w:t>
      </w:r>
    </w:p>
    <w:p w14:paraId="270A0B55" w14:textId="4AA625B9" w:rsidR="00AD6E02" w:rsidRDefault="00397E4F">
      <w:pPr>
        <w:spacing w:after="0" w:line="240" w:lineRule="auto"/>
        <w:jc w:val="center"/>
        <w:rPr>
          <w:rFonts w:ascii="Georgia" w:eastAsia="Georgia" w:hAnsi="Georgia" w:cs="Georgia"/>
          <w:b/>
          <w:bCs/>
          <w:color w:val="111111"/>
          <w:sz w:val="24"/>
          <w:szCs w:val="24"/>
          <w:highlight w:val="white"/>
        </w:rPr>
      </w:pPr>
      <w:r>
        <w:rPr>
          <w:rFonts w:ascii="Georgia" w:eastAsia="Georgia" w:hAnsi="Georgia" w:cs="Georgia"/>
          <w:b/>
          <w:bCs/>
          <w:color w:val="111111"/>
          <w:sz w:val="24"/>
          <w:szCs w:val="24"/>
          <w:highlight w:val="white"/>
        </w:rPr>
        <w:t>ÖLÇEK GELİŞTİRME VE ÖLÇEK UYARLAMA ÇALIŞMALARI</w:t>
      </w:r>
    </w:p>
    <w:p w14:paraId="47617580" w14:textId="60E060D4" w:rsidR="00AD6E02" w:rsidRDefault="00397E4F">
      <w:pPr>
        <w:spacing w:after="0" w:line="240" w:lineRule="auto"/>
        <w:jc w:val="center"/>
        <w:rPr>
          <w:rFonts w:ascii="Georgia" w:eastAsia="Georgia" w:hAnsi="Georgia" w:cs="Georgia"/>
          <w:b/>
          <w:bCs/>
          <w:color w:val="111111"/>
          <w:sz w:val="24"/>
          <w:szCs w:val="24"/>
          <w:highlight w:val="white"/>
        </w:rPr>
      </w:pPr>
      <w:r>
        <w:rPr>
          <w:rFonts w:ascii="Georgia" w:eastAsia="Georgia" w:hAnsi="Georgia" w:cs="Georgia"/>
          <w:b/>
          <w:bCs/>
          <w:color w:val="111111"/>
          <w:sz w:val="24"/>
          <w:szCs w:val="24"/>
          <w:highlight w:val="white"/>
        </w:rPr>
        <w:t>YAZAR KONTROL LİSTESİ</w:t>
      </w:r>
    </w:p>
    <w:p w14:paraId="00E57D21" w14:textId="77777777" w:rsidR="00AD6E02" w:rsidRDefault="00AD6E02">
      <w:pPr>
        <w:spacing w:after="0" w:line="240" w:lineRule="auto"/>
        <w:jc w:val="center"/>
        <w:rPr>
          <w:rFonts w:ascii="Georgia" w:eastAsia="Georgia" w:hAnsi="Georgia" w:cs="Georgia"/>
          <w:b/>
          <w:bCs/>
          <w:color w:val="111111"/>
          <w:sz w:val="24"/>
          <w:szCs w:val="24"/>
          <w:highlight w:val="white"/>
        </w:rPr>
      </w:pPr>
    </w:p>
    <w:tbl>
      <w:tblPr>
        <w:tblStyle w:val="a"/>
        <w:tblW w:w="904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42"/>
      </w:tblGrid>
      <w:tr w:rsidR="00AD6E02" w14:paraId="74863101" w14:textId="77777777">
        <w:tc>
          <w:tcPr>
            <w:tcW w:w="9042" w:type="dxa"/>
          </w:tcPr>
          <w:p w14:paraId="7EFE155B" w14:textId="77777777" w:rsidR="00AD6E02" w:rsidRDefault="00000000">
            <w:pPr>
              <w:spacing w:line="276" w:lineRule="auto"/>
              <w:jc w:val="both"/>
              <w:rPr>
                <w:rFonts w:ascii="Georgia" w:eastAsia="Georgia" w:hAnsi="Georgia" w:cs="Georgia"/>
                <w:i/>
                <w:iCs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highlight w:val="white"/>
              </w:rPr>
              <w:t xml:space="preserve">Türk Akademik Yayınlar Dergisi’ne (TAY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highlight w:val="white"/>
              </w:rPr>
              <w:t>Journal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highlight w:val="white"/>
              </w:rPr>
              <w:t>) ölçek geliştirme veya ölçek uyarlama çalışması gönderecek yazarların, makalelerini sisteme yüklemeden önce aşağıdaki ölçütleri dikkatle gözden geçirmeleri beklenmektedir.</w:t>
            </w:r>
          </w:p>
        </w:tc>
      </w:tr>
      <w:tr w:rsidR="00AD6E02" w14:paraId="7DACFABC" w14:textId="77777777">
        <w:tc>
          <w:tcPr>
            <w:tcW w:w="9042" w:type="dxa"/>
          </w:tcPr>
          <w:p w14:paraId="5B12DCC9" w14:textId="77777777" w:rsidR="00AD6E02" w:rsidRDefault="00000000">
            <w:pPr>
              <w:jc w:val="both"/>
              <w:rPr>
                <w:rFonts w:ascii="Quattrocento Sans" w:eastAsia="Quattrocento Sans" w:hAnsi="Quattrocento Sans" w:cs="Quattrocento Sans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b/>
                <w:bCs/>
                <w:color w:val="111111"/>
                <w:sz w:val="24"/>
                <w:szCs w:val="24"/>
                <w:highlight w:val="white"/>
              </w:rPr>
              <w:t>A. ÇALIŞMANIN TÜRÜ VE KURAMSAL TEMELİ</w:t>
            </w:r>
          </w:p>
        </w:tc>
      </w:tr>
      <w:tr w:rsidR="00AD6E02" w14:paraId="7BFF71D4" w14:textId="77777777">
        <w:tc>
          <w:tcPr>
            <w:tcW w:w="9042" w:type="dxa"/>
          </w:tcPr>
          <w:p w14:paraId="701BF7D4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Çalışmanın ölçek geliştirme ya da ölçek uyarlama çalışması olduğu açık biçimde belirtilmiştir.</w:t>
            </w:r>
          </w:p>
        </w:tc>
      </w:tr>
      <w:tr w:rsidR="00AD6E02" w14:paraId="601505C7" w14:textId="77777777">
        <w:tc>
          <w:tcPr>
            <w:tcW w:w="9042" w:type="dxa"/>
          </w:tcPr>
          <w:p w14:paraId="11BECEED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Ölçeğin ölçtüğü yapının kuramsal çerçevesi ayrıntılı biçimde sunulmuştur. Yapının tanımı, alt boyutları ve literatürdeki yeri açıkça gösterilmiştir. </w:t>
            </w:r>
          </w:p>
        </w:tc>
      </w:tr>
      <w:tr w:rsidR="00AD6E02" w14:paraId="0473B7AB" w14:textId="77777777">
        <w:tc>
          <w:tcPr>
            <w:tcW w:w="9042" w:type="dxa"/>
          </w:tcPr>
          <w:p w14:paraId="218B9F87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Çalışmanın neden gerekli olduğu gerekçelendirilmiş; alan yazındaki boşluk ve çalışmanın alan yazınına katkısı analitik biçimde açıklanmıştır. </w:t>
            </w:r>
          </w:p>
        </w:tc>
      </w:tr>
      <w:tr w:rsidR="00AD6E02" w14:paraId="1C830A56" w14:textId="77777777">
        <w:tc>
          <w:tcPr>
            <w:tcW w:w="9042" w:type="dxa"/>
          </w:tcPr>
          <w:p w14:paraId="6659C262" w14:textId="77777777" w:rsidR="00AD6E02" w:rsidRDefault="00000000">
            <w:pPr>
              <w:jc w:val="both"/>
              <w:rPr>
                <w:rFonts w:ascii="Georgia" w:eastAsia="Georgia" w:hAnsi="Georgia" w:cs="Georgia"/>
                <w:b/>
                <w:bCs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b/>
                <w:bCs/>
                <w:color w:val="111111"/>
                <w:sz w:val="24"/>
                <w:szCs w:val="24"/>
                <w:highlight w:val="white"/>
              </w:rPr>
              <w:t>B. ETİK VE İZİN SÜREÇLERİ</w:t>
            </w:r>
          </w:p>
        </w:tc>
      </w:tr>
      <w:tr w:rsidR="00AD6E02" w14:paraId="59D9BB89" w14:textId="77777777">
        <w:tc>
          <w:tcPr>
            <w:tcW w:w="9042" w:type="dxa"/>
          </w:tcPr>
          <w:p w14:paraId="6A304BD3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Etik kurul onayı bilgileri eksiksiz (kurum adı, karar tarihi, karar numarası) bir şekilde verilmiştir. </w:t>
            </w:r>
          </w:p>
        </w:tc>
      </w:tr>
      <w:tr w:rsidR="00AD6E02" w14:paraId="3E19FAE6" w14:textId="77777777">
        <w:tc>
          <w:tcPr>
            <w:tcW w:w="9042" w:type="dxa"/>
          </w:tcPr>
          <w:p w14:paraId="10FC6777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Ölçek uyarlama çalışmalarında, özgün ölçek sahiplerinden izin alınmış ve bu durum açıkça belirtilmiştir. </w:t>
            </w:r>
          </w:p>
        </w:tc>
      </w:tr>
      <w:tr w:rsidR="00AD6E02" w14:paraId="78943C7D" w14:textId="77777777">
        <w:tc>
          <w:tcPr>
            <w:tcW w:w="9042" w:type="dxa"/>
          </w:tcPr>
          <w:p w14:paraId="05BB2C04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Daha önce geliştirilmiş veya uyarlanmış bir ölçeğin maddelerinde değişiklik yapılmışsa, bu gerekçelendirilmiş ve gerekli izin bilgisi sunulmuştur. </w:t>
            </w:r>
          </w:p>
        </w:tc>
      </w:tr>
      <w:tr w:rsidR="00AD6E02" w14:paraId="0A02DBE5" w14:textId="77777777">
        <w:tc>
          <w:tcPr>
            <w:tcW w:w="9042" w:type="dxa"/>
          </w:tcPr>
          <w:p w14:paraId="69E17999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highlight w:val="white"/>
              </w:rPr>
              <w:t>C. ÖLÇEK GELİŞTİRME ÇALIŞMALARINDA BEKLENEN ÖLÇÜTLER</w:t>
            </w: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AD6E02" w14:paraId="532FF3C0" w14:textId="77777777">
        <w:tc>
          <w:tcPr>
            <w:tcW w:w="9042" w:type="dxa"/>
          </w:tcPr>
          <w:p w14:paraId="2ABA9697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Ölçülecek yapının kavramsal ve </w:t>
            </w:r>
            <w:proofErr w:type="spellStart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işevuruk</w:t>
            </w:r>
            <w:proofErr w:type="spellEnd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 tanımı yapılmıştır. Yapının davranışsal göstergeleri literatür, görüşme, gözlem, içerik analizi veya uzman görüşü ile temellendirilmiştir.  </w:t>
            </w:r>
          </w:p>
        </w:tc>
      </w:tr>
      <w:tr w:rsidR="00AD6E02" w14:paraId="29C0EDD9" w14:textId="77777777">
        <w:tc>
          <w:tcPr>
            <w:tcW w:w="9042" w:type="dxa"/>
          </w:tcPr>
          <w:p w14:paraId="71A6DEDE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Madde havuzunun nasıl oluşturulduğu şeffaf bir şekilde açıklanmıştır.</w:t>
            </w:r>
          </w:p>
        </w:tc>
      </w:tr>
      <w:tr w:rsidR="00AD6E02" w14:paraId="41594F89" w14:textId="77777777">
        <w:tc>
          <w:tcPr>
            <w:tcW w:w="9042" w:type="dxa"/>
          </w:tcPr>
          <w:p w14:paraId="697179C4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Başlangıçta yazılan madde sayısı ve son formda kalan madde sayısı belirtilmiştir.</w:t>
            </w:r>
          </w:p>
        </w:tc>
      </w:tr>
      <w:tr w:rsidR="00AD6E02" w14:paraId="19FFB7A4" w14:textId="77777777">
        <w:tc>
          <w:tcPr>
            <w:tcW w:w="9042" w:type="dxa"/>
          </w:tcPr>
          <w:p w14:paraId="1A4D13DD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Ölçme biçimi belirtilmiştir. </w:t>
            </w:r>
            <w:proofErr w:type="spellStart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Likert</w:t>
            </w:r>
            <w:proofErr w:type="spellEnd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 tipi ya da başka bir ölçekleme yaklaşımının neden tercih edildiği açıklanmıştır.</w:t>
            </w:r>
          </w:p>
        </w:tc>
      </w:tr>
      <w:tr w:rsidR="00AD6E02" w14:paraId="3D61609F" w14:textId="77777777">
        <w:tc>
          <w:tcPr>
            <w:tcW w:w="9042" w:type="dxa"/>
          </w:tcPr>
          <w:p w14:paraId="0234C475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Maddelerin kısa, açık, tek boyutlu ve anlaşılır olmasına dikkat edilmiştir. Aynı maddede birden fazla özellik ölçülmemiş, çift olumsuz ifade kullanılmamıştır. </w:t>
            </w:r>
          </w:p>
        </w:tc>
      </w:tr>
      <w:tr w:rsidR="00AD6E02" w14:paraId="1BE4135E" w14:textId="77777777">
        <w:tc>
          <w:tcPr>
            <w:tcW w:w="9042" w:type="dxa"/>
          </w:tcPr>
          <w:p w14:paraId="5BC47C5E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Ölçeğin yönergesi açık biçimde sunulmuştur. Ölçeğin amacı, cevaplama biçimi, madde sayısı ve gerekiyorsa uygulama süresi belirtilmiştir.</w:t>
            </w:r>
          </w:p>
        </w:tc>
      </w:tr>
      <w:tr w:rsidR="00AD6E02" w14:paraId="65733D67" w14:textId="77777777">
        <w:tc>
          <w:tcPr>
            <w:tcW w:w="9042" w:type="dxa"/>
          </w:tcPr>
          <w:p w14:paraId="17C7C23C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Ön deneme ya da pilot uygulama yapılmıştır. </w:t>
            </w:r>
          </w:p>
        </w:tc>
      </w:tr>
      <w:tr w:rsidR="00AD6E02" w14:paraId="69FE4E5F" w14:textId="77777777">
        <w:tc>
          <w:tcPr>
            <w:tcW w:w="9042" w:type="dxa"/>
          </w:tcPr>
          <w:p w14:paraId="11078ECF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Pilot uygulamanın kaç kişiyle yapıldığı, hangi geri bildirimlerin alındığı ve buna göre hangi değişikliklerin yapıldığı raporlanmıştır.</w:t>
            </w:r>
          </w:p>
        </w:tc>
      </w:tr>
      <w:tr w:rsidR="00AD6E02" w14:paraId="298F6425" w14:textId="77777777">
        <w:tc>
          <w:tcPr>
            <w:tcW w:w="9042" w:type="dxa"/>
          </w:tcPr>
          <w:p w14:paraId="5C119509" w14:textId="77777777" w:rsidR="00AD6E02" w:rsidRDefault="00000000">
            <w:pPr>
              <w:jc w:val="both"/>
              <w:rPr>
                <w:rFonts w:ascii="Quattrocento Sans" w:eastAsia="Quattrocento Sans" w:hAnsi="Quattrocento Sans" w:cs="Quattrocento Sans"/>
                <w:color w:val="111111"/>
                <w:sz w:val="24"/>
                <w:szCs w:val="24"/>
              </w:rPr>
            </w:pPr>
            <w:r>
              <w:rPr>
                <w:rFonts w:ascii="Georgia" w:eastAsia="Georgia" w:hAnsi="Georgia" w:cs="Georgia"/>
                <w:b/>
                <w:bCs/>
                <w:color w:val="111111"/>
                <w:sz w:val="24"/>
                <w:szCs w:val="24"/>
              </w:rPr>
              <w:t>D. UZMAN GÖRÜŞÜ VE KAPSAM GEÇERLİĞİ</w:t>
            </w:r>
          </w:p>
        </w:tc>
      </w:tr>
      <w:tr w:rsidR="00AD6E02" w14:paraId="4436C776" w14:textId="77777777">
        <w:tc>
          <w:tcPr>
            <w:tcW w:w="9042" w:type="dxa"/>
          </w:tcPr>
          <w:p w14:paraId="7D01AC2A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lastRenderedPageBreak/>
              <w:t>☐ Uzman görüşü süreci ayrıntılı biçimde sunulmuştur. Kaç uzmandan görüş alındığı, uzmanların alanı ve değerlendirme ölçütleri belirtilmiştir.</w:t>
            </w:r>
          </w:p>
        </w:tc>
      </w:tr>
      <w:tr w:rsidR="00AD6E02" w14:paraId="75262664" w14:textId="77777777">
        <w:tc>
          <w:tcPr>
            <w:tcW w:w="9042" w:type="dxa"/>
          </w:tcPr>
          <w:p w14:paraId="048ECB9E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Uzman görüşü sonucunda düzeltilen veya çıkarılan maddeler şeffaf biçimde raporlanmıştır. Bu bilgiler makalede ya da ek dosyada sunulmuştur.</w:t>
            </w:r>
          </w:p>
        </w:tc>
      </w:tr>
      <w:tr w:rsidR="00AD6E02" w14:paraId="1859F050" w14:textId="77777777">
        <w:tc>
          <w:tcPr>
            <w:tcW w:w="9042" w:type="dxa"/>
          </w:tcPr>
          <w:p w14:paraId="539BBACB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Taslak formdaki ve son formdaki maddeler erişilebilir hâle getirilmiştir. Gerekli olduğu düşünülen bu dosyalar ek dosya olarak yüklenmiştir. </w:t>
            </w:r>
          </w:p>
        </w:tc>
      </w:tr>
      <w:tr w:rsidR="00AD6E02" w14:paraId="36370F91" w14:textId="77777777">
        <w:tc>
          <w:tcPr>
            <w:tcW w:w="9042" w:type="dxa"/>
          </w:tcPr>
          <w:p w14:paraId="4D64FC7C" w14:textId="77777777" w:rsidR="00AD6E02" w:rsidRDefault="00000000">
            <w:pPr>
              <w:spacing w:line="276" w:lineRule="auto"/>
              <w:jc w:val="both"/>
              <w:rPr>
                <w:rFonts w:ascii="Quattrocento Sans" w:eastAsia="Quattrocento Sans" w:hAnsi="Quattrocento Sans" w:cs="Quattrocento Sans"/>
                <w:color w:val="111111"/>
                <w:sz w:val="24"/>
                <w:szCs w:val="24"/>
              </w:rPr>
            </w:pPr>
            <w:r>
              <w:rPr>
                <w:rFonts w:ascii="Georgia" w:eastAsia="Georgia" w:hAnsi="Georgia" w:cs="Georgia"/>
                <w:b/>
                <w:bCs/>
                <w:color w:val="111111"/>
                <w:sz w:val="24"/>
                <w:szCs w:val="24"/>
              </w:rPr>
              <w:t>E. ÖLÇEK UYARLAMA ÇALIŞMALARINDA BEKLENEN ÖLÇÜTLER</w:t>
            </w:r>
          </w:p>
        </w:tc>
      </w:tr>
      <w:tr w:rsidR="00AD6E02" w14:paraId="008049EE" w14:textId="77777777">
        <w:tc>
          <w:tcPr>
            <w:tcW w:w="9042" w:type="dxa"/>
          </w:tcPr>
          <w:p w14:paraId="795D0471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Yeni bir ölçek geliştirmek yerine mevcut bir ölçek uyarlanmış </w:t>
            </w:r>
            <w:proofErr w:type="gramStart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ise  gerekçesi</w:t>
            </w:r>
            <w:proofErr w:type="gramEnd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 açıklanmıştır. Uyarlama tercihinin kuramsal ve uygulamalı gerekçesi açık bir biçimde belirtilmiştir.</w:t>
            </w:r>
          </w:p>
        </w:tc>
      </w:tr>
      <w:tr w:rsidR="00AD6E02" w14:paraId="3D7388BD" w14:textId="77777777">
        <w:tc>
          <w:tcPr>
            <w:tcW w:w="9042" w:type="dxa"/>
          </w:tcPr>
          <w:p w14:paraId="54A0F212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Ölçülen yapının kaynak kültür ile hedef kültürde eşdeğer anlam taşıyıp taşımadığı tartışılmıştır. </w:t>
            </w:r>
          </w:p>
        </w:tc>
      </w:tr>
      <w:tr w:rsidR="00AD6E02" w14:paraId="165C3F76" w14:textId="77777777">
        <w:tc>
          <w:tcPr>
            <w:tcW w:w="9042" w:type="dxa"/>
          </w:tcPr>
          <w:p w14:paraId="145184B1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Çeviri ve geri çeviri süreci ayrıntılı biçimde açıklanmıştır. Çeviriyi kimlerin yaptığı, dil yeterlikleri ve orijinal formla karşılaştırma süreci belirtilmiştir. </w:t>
            </w:r>
          </w:p>
        </w:tc>
      </w:tr>
      <w:tr w:rsidR="00AD6E02" w14:paraId="25630752" w14:textId="77777777">
        <w:tc>
          <w:tcPr>
            <w:tcW w:w="9042" w:type="dxa"/>
          </w:tcPr>
          <w:p w14:paraId="6BFB5E71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Mümkün olan durumlarda dilsel eşdeğerlik kanıtı sunulmuştur. İki dili bilen bir grup üzerinde iki form arasındaki ilişkinin gösterilmesi önerilmektedir. </w:t>
            </w:r>
          </w:p>
        </w:tc>
      </w:tr>
      <w:tr w:rsidR="00AD6E02" w14:paraId="58AA2A1D" w14:textId="77777777">
        <w:tc>
          <w:tcPr>
            <w:tcW w:w="9042" w:type="dxa"/>
          </w:tcPr>
          <w:p w14:paraId="631C886A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Uyarlama çalışmalarında madde çıkarmaktan mümkün olduğunca kaçınılmıştır. Çok sayıda madde çıkarılması, çalışmayı uyarlamadan çok yeni ölçek geliştirmeye yaklaştırabilir. Böyle bir durum varsa güçlü kuramsal ve istatistiksel gerekçeler ile sunulmuştur. </w:t>
            </w:r>
          </w:p>
        </w:tc>
      </w:tr>
      <w:tr w:rsidR="00AD6E02" w14:paraId="16D5A556" w14:textId="77777777">
        <w:tc>
          <w:tcPr>
            <w:tcW w:w="9042" w:type="dxa"/>
          </w:tcPr>
          <w:p w14:paraId="131E920D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Uyarlanan ölçeğin orijinal çalışmasında sunulan temel geçerlik ve güvenirlik analizleri Türk örnekleminde yeniden sınanmıştır. </w:t>
            </w:r>
          </w:p>
        </w:tc>
      </w:tr>
      <w:tr w:rsidR="00AD6E02" w14:paraId="05DC91C6" w14:textId="77777777">
        <w:tc>
          <w:tcPr>
            <w:tcW w:w="9042" w:type="dxa"/>
          </w:tcPr>
          <w:p w14:paraId="1D3498F4" w14:textId="77777777" w:rsidR="00AD6E02" w:rsidRDefault="00000000">
            <w:pPr>
              <w:jc w:val="both"/>
              <w:rPr>
                <w:rFonts w:ascii="Georgia" w:eastAsia="Georgia" w:hAnsi="Georgia" w:cs="Georgia"/>
                <w:b/>
                <w:bCs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b/>
                <w:bCs/>
                <w:color w:val="111111"/>
                <w:sz w:val="24"/>
                <w:szCs w:val="24"/>
                <w:highlight w:val="white"/>
              </w:rPr>
              <w:t xml:space="preserve">F. ÖRNEKLEM VE VERİ KALİTESİ </w:t>
            </w:r>
          </w:p>
        </w:tc>
      </w:tr>
      <w:tr w:rsidR="00AD6E02" w14:paraId="6573B0D4" w14:textId="77777777">
        <w:tc>
          <w:tcPr>
            <w:tcW w:w="9042" w:type="dxa"/>
          </w:tcPr>
          <w:p w14:paraId="79D11731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Evren ve örneklem açık biçimde tanımlanmıştır. Örnekleme yöntemi, katılımcı özellikleri ve hedef kitle ile uyum ayrıntılı biçimde verilmiştir. </w:t>
            </w:r>
          </w:p>
        </w:tc>
      </w:tr>
      <w:tr w:rsidR="00AD6E02" w14:paraId="7D9E9691" w14:textId="77777777">
        <w:tc>
          <w:tcPr>
            <w:tcW w:w="9042" w:type="dxa"/>
          </w:tcPr>
          <w:p w14:paraId="2253A2F0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Örneklem büyüklüğü yalnızca sayısal olarak değil, yapılan analizlere uygunluğu bakımından da gerekçelendirilmiştir.</w:t>
            </w:r>
          </w:p>
        </w:tc>
      </w:tr>
      <w:tr w:rsidR="00AD6E02" w14:paraId="3FCF144B" w14:textId="77777777">
        <w:tc>
          <w:tcPr>
            <w:tcW w:w="9042" w:type="dxa"/>
          </w:tcPr>
          <w:p w14:paraId="48034085" w14:textId="77777777" w:rsidR="00AD6E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Veri seti analiz öncesinde eksik veri, aykırı değerler ve varsayımlar bakımından incelenmiş, bu süreç açık biçimde raporlanmıştır. </w:t>
            </w:r>
          </w:p>
        </w:tc>
      </w:tr>
      <w:tr w:rsidR="00AD6E02" w14:paraId="6ECE7E91" w14:textId="77777777">
        <w:tc>
          <w:tcPr>
            <w:tcW w:w="9042" w:type="dxa"/>
          </w:tcPr>
          <w:p w14:paraId="064A6342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b/>
                <w:bCs/>
                <w:color w:val="111111"/>
                <w:sz w:val="24"/>
                <w:szCs w:val="24"/>
                <w:highlight w:val="white"/>
              </w:rPr>
              <w:t>G. AÇIMLAYICI ANALIZLER</w:t>
            </w:r>
          </w:p>
        </w:tc>
      </w:tr>
      <w:tr w:rsidR="00AD6E02" w14:paraId="0F6A5949" w14:textId="77777777">
        <w:tc>
          <w:tcPr>
            <w:tcW w:w="9042" w:type="dxa"/>
          </w:tcPr>
          <w:p w14:paraId="02DA653C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Faktör analizine uygunluk için gerekli istatistikler verilmiştir. KMO ve Bartlett testi gibi göstergeler raporlanmıştır. </w:t>
            </w:r>
          </w:p>
        </w:tc>
      </w:tr>
      <w:tr w:rsidR="00AD6E02" w14:paraId="7A21D7F4" w14:textId="77777777">
        <w:tc>
          <w:tcPr>
            <w:tcW w:w="9042" w:type="dxa"/>
          </w:tcPr>
          <w:p w14:paraId="7DEFF89F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Açımlayıcı analizlerde kullanılan faktör çıkarma yöntemi açıkça belirtilmiş ve gerekçelendirilmiştir. </w:t>
            </w:r>
          </w:p>
        </w:tc>
      </w:tr>
      <w:tr w:rsidR="00AD6E02" w14:paraId="2284BC14" w14:textId="77777777">
        <w:tc>
          <w:tcPr>
            <w:tcW w:w="9042" w:type="dxa"/>
          </w:tcPr>
          <w:p w14:paraId="7F66B6EE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Ölçülen yapı yeni veya boyutluluğu belirsiz ise, PCA/TBA yerine PA/PAF veya ML/MLE gibi ortak faktör yöntemlerinin tercih edilmesi önerilmektedir. </w:t>
            </w:r>
          </w:p>
        </w:tc>
      </w:tr>
      <w:tr w:rsidR="00AD6E02" w14:paraId="22DEFE97" w14:textId="77777777">
        <w:tc>
          <w:tcPr>
            <w:tcW w:w="9042" w:type="dxa"/>
          </w:tcPr>
          <w:p w14:paraId="5930093B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Eğer PCA kullanıldıysa, bu tercih gerekçelendirilmiş ve </w:t>
            </w:r>
            <w:proofErr w:type="spellStart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communalities</w:t>
            </w:r>
            <w:proofErr w:type="spellEnd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 (ortak varyanslar) raporlanmıştır. </w:t>
            </w:r>
          </w:p>
        </w:tc>
      </w:tr>
      <w:tr w:rsidR="00AD6E02" w14:paraId="3F7781B3" w14:textId="77777777">
        <w:tc>
          <w:tcPr>
            <w:tcW w:w="9042" w:type="dxa"/>
          </w:tcPr>
          <w:p w14:paraId="5FD9BEBF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Faktör sayısına karar verirken birden fazla yöntem kullanılmıştır. Özdeğer, </w:t>
            </w:r>
            <w:proofErr w:type="spellStart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scree</w:t>
            </w:r>
            <w:proofErr w:type="spellEnd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plot</w:t>
            </w:r>
            <w:proofErr w:type="spellEnd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 ve özellikle </w:t>
            </w:r>
            <w:proofErr w:type="spellStart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Horn</w:t>
            </w:r>
            <w:proofErr w:type="spellEnd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 paralel analizi birlikte değerlendirilmiştir. </w:t>
            </w:r>
          </w:p>
        </w:tc>
      </w:tr>
      <w:tr w:rsidR="00AD6E02" w14:paraId="28EEE9CE" w14:textId="77777777">
        <w:tc>
          <w:tcPr>
            <w:tcW w:w="9042" w:type="dxa"/>
          </w:tcPr>
          <w:p w14:paraId="66B78179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Döndürme yöntemi gerekçelendirilmiştir. Faktörler arası ilişki beklentisine göre eğik veya dik döndürme seçimi açıklanmıştır. </w:t>
            </w:r>
          </w:p>
        </w:tc>
      </w:tr>
      <w:tr w:rsidR="00AD6E02" w14:paraId="540F463A" w14:textId="77777777">
        <w:tc>
          <w:tcPr>
            <w:tcW w:w="9042" w:type="dxa"/>
          </w:tcPr>
          <w:p w14:paraId="708C5E6C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Ölçekten çıkarılan maddelerin hangi gerekçelerle ve hangi sırayla çıkarıldığı açıkça belirtilmiştir. Bu sürecin tablo hâlinde sunulması önerilmektedir. </w:t>
            </w:r>
          </w:p>
        </w:tc>
      </w:tr>
      <w:tr w:rsidR="00AD6E02" w14:paraId="24AC5A02" w14:textId="77777777">
        <w:tc>
          <w:tcPr>
            <w:tcW w:w="9042" w:type="dxa"/>
          </w:tcPr>
          <w:p w14:paraId="6905F59C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b/>
                <w:bCs/>
                <w:color w:val="111111"/>
                <w:sz w:val="24"/>
                <w:szCs w:val="24"/>
                <w:highlight w:val="white"/>
              </w:rPr>
              <w:t>H. DOĞRULAYICI FAKTÖR ANALİZİ</w:t>
            </w: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AD6E02" w14:paraId="10AE573B" w14:textId="77777777">
        <w:tc>
          <w:tcPr>
            <w:tcW w:w="9042" w:type="dxa"/>
          </w:tcPr>
          <w:p w14:paraId="0305CDA1" w14:textId="77777777" w:rsidR="00AD6E02" w:rsidRDefault="00000000">
            <w:pPr>
              <w:jc w:val="both"/>
              <w:rPr>
                <w:rFonts w:ascii="Quattrocento Sans" w:eastAsia="Quattrocento Sans" w:hAnsi="Quattrocento Sans" w:cs="Quattrocento Sans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lastRenderedPageBreak/>
              <w:t>☐ Mümkün olan durumlarda AFA ve DFA aynı evreni temsil eden iki farklı örneklem üzerinde yürütülmüştür. Tek örneklem kullanılmışsa bu durum önemli bir sınırlılık olarak açıklanmıştır.</w:t>
            </w:r>
          </w:p>
        </w:tc>
      </w:tr>
      <w:tr w:rsidR="00AD6E02" w14:paraId="607917D4" w14:textId="77777777">
        <w:tc>
          <w:tcPr>
            <w:tcW w:w="9042" w:type="dxa"/>
          </w:tcPr>
          <w:p w14:paraId="0B553FB1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DFA için veri türü ve çok değişkenli normallik durumunu incelenmiştir. Kullanılan kestirim yöntemini buna göre seçilmiş ve açıklanmıştır.</w:t>
            </w:r>
          </w:p>
        </w:tc>
      </w:tr>
      <w:tr w:rsidR="00AD6E02" w14:paraId="6C7CC355" w14:textId="77777777">
        <w:tc>
          <w:tcPr>
            <w:tcW w:w="9042" w:type="dxa"/>
          </w:tcPr>
          <w:p w14:paraId="20941881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Veri sürekli ve çok değişkenli normallik sağlanmışsa ML; normallik sağlanmamışsa </w:t>
            </w:r>
            <w:proofErr w:type="gramStart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MLR;</w:t>
            </w:r>
            <w:proofErr w:type="gramEnd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 veri süreksiz/sıralı ise ULS, WLS veya DWLS gibi yöntemler tercih edilmiştir.</w:t>
            </w:r>
          </w:p>
        </w:tc>
      </w:tr>
      <w:tr w:rsidR="00AD6E02" w14:paraId="0CB157F6" w14:textId="77777777">
        <w:tc>
          <w:tcPr>
            <w:tcW w:w="9042" w:type="dxa"/>
          </w:tcPr>
          <w:p w14:paraId="095E961C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Uyum iyiliği indeksleri birden fazla gösterge ile raporlanmıştır.</w:t>
            </w:r>
          </w:p>
        </w:tc>
      </w:tr>
      <w:tr w:rsidR="00AD6E02" w14:paraId="279ED145" w14:textId="77777777">
        <w:tc>
          <w:tcPr>
            <w:tcW w:w="9042" w:type="dxa"/>
          </w:tcPr>
          <w:p w14:paraId="0A883D28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Model iyileştirme amacıyla yapılan modifikasyonlar kuramsal gerekçelerle açıklanmıştır. Aşırı ve yalnızca istatistik temelli modifikasyondan kaçınılmıştır.</w:t>
            </w:r>
          </w:p>
        </w:tc>
      </w:tr>
      <w:tr w:rsidR="00AD6E02" w14:paraId="29FB35A9" w14:textId="77777777">
        <w:tc>
          <w:tcPr>
            <w:tcW w:w="9042" w:type="dxa"/>
          </w:tcPr>
          <w:p w14:paraId="12CEFE37" w14:textId="77777777" w:rsidR="00AD6E02" w:rsidRDefault="00000000">
            <w:pPr>
              <w:spacing w:line="276" w:lineRule="auto"/>
              <w:jc w:val="both"/>
              <w:rPr>
                <w:rFonts w:ascii="Quattrocento Sans" w:eastAsia="Quattrocento Sans" w:hAnsi="Quattrocento Sans" w:cs="Quattrocento Sans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b/>
                <w:bCs/>
                <w:color w:val="111111"/>
                <w:sz w:val="24"/>
                <w:szCs w:val="24"/>
                <w:highlight w:val="white"/>
              </w:rPr>
              <w:t>I. GÜVENİRLİK VE EK GEÇERLİK KANITLARI</w:t>
            </w:r>
          </w:p>
        </w:tc>
      </w:tr>
      <w:tr w:rsidR="00AD6E02" w14:paraId="16B58B5D" w14:textId="77777777">
        <w:tc>
          <w:tcPr>
            <w:tcW w:w="9042" w:type="dxa"/>
          </w:tcPr>
          <w:p w14:paraId="25465848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İç tutarlılık katsayıları hem tüm ölçek hem de alt boyutlar için ayrı ayrı verilmiştir. </w:t>
            </w:r>
          </w:p>
        </w:tc>
      </w:tr>
      <w:tr w:rsidR="00AD6E02" w14:paraId="7BC8775C" w14:textId="77777777">
        <w:tc>
          <w:tcPr>
            <w:tcW w:w="9042" w:type="dxa"/>
          </w:tcPr>
          <w:p w14:paraId="4DB03405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Çok boyutlu yapılarda yalnızca Cronbach alfa ile yetinilmemesi önerilmektedir. McDonald </w:t>
            </w:r>
            <w:proofErr w:type="spellStart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omega</w:t>
            </w:r>
            <w:proofErr w:type="spellEnd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, tabakalı alfa veya </w:t>
            </w:r>
            <w:proofErr w:type="spellStart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composite</w:t>
            </w:r>
            <w:proofErr w:type="spellEnd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reliability</w:t>
            </w:r>
            <w:proofErr w:type="spellEnd"/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 gibi ek katsayılar sunulmuştur. </w:t>
            </w:r>
          </w:p>
        </w:tc>
      </w:tr>
      <w:tr w:rsidR="00AD6E02" w14:paraId="64417F1D" w14:textId="77777777">
        <w:tc>
          <w:tcPr>
            <w:tcW w:w="9042" w:type="dxa"/>
          </w:tcPr>
          <w:p w14:paraId="5497F291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Mümkün olan durumlarda özellikle kararlı yapıları ölçen ölçeklerde önemli bir ek kanıt olan test-tekrar test güvenirliği de raporlanmıştır.</w:t>
            </w:r>
          </w:p>
        </w:tc>
      </w:tr>
      <w:tr w:rsidR="00AD6E02" w14:paraId="5257A5A4" w14:textId="77777777">
        <w:tc>
          <w:tcPr>
            <w:tcW w:w="9042" w:type="dxa"/>
          </w:tcPr>
          <w:p w14:paraId="3FB65E97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Yapı geçerliğine ek olarak, mümkün olan durumlarda ölçüt bağıntılı geçerlik, yakınsak/ayrışan geçerlik, madde-toplam korelasyonları ve alt boyutlar arası ilişkileri sunulmuştur.</w:t>
            </w:r>
          </w:p>
        </w:tc>
      </w:tr>
      <w:tr w:rsidR="00AD6E02" w14:paraId="7B3A6F6A" w14:textId="77777777">
        <w:tc>
          <w:tcPr>
            <w:tcW w:w="9042" w:type="dxa"/>
          </w:tcPr>
          <w:p w14:paraId="077A55CE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Ölçme değişmezliği ve mümkün olan durumlarda değişen madde fonksiyonu analizleri sunulmuştur. Özellikle farklı gruplarda kullanılacak ölçeklerde bu önemli bir kalite göstergesidir.</w:t>
            </w:r>
          </w:p>
        </w:tc>
      </w:tr>
      <w:tr w:rsidR="00AD6E02" w14:paraId="703DA485" w14:textId="77777777">
        <w:tc>
          <w:tcPr>
            <w:tcW w:w="9042" w:type="dxa"/>
          </w:tcPr>
          <w:p w14:paraId="0BD11C76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highlight w:val="white"/>
              </w:rPr>
              <w:t>J. BULGULARIN SUNUMU VE TARTIŞMA</w:t>
            </w: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AD6E02" w14:paraId="5552B7C1" w14:textId="77777777">
        <w:tc>
          <w:tcPr>
            <w:tcW w:w="9042" w:type="dxa"/>
          </w:tcPr>
          <w:p w14:paraId="07DD715D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Tüm analizler şeffaf biçimde raporlanmıştır. Okuyucu, ölçeğin nasıl geliştirildiğini veya nasıl uyarlandığını adım adım izleyebilir durumdadır.</w:t>
            </w:r>
          </w:p>
        </w:tc>
      </w:tr>
      <w:tr w:rsidR="00AD6E02" w14:paraId="4460C58C" w14:textId="77777777">
        <w:tc>
          <w:tcPr>
            <w:tcW w:w="9042" w:type="dxa"/>
          </w:tcPr>
          <w:p w14:paraId="61603F14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Bulgular kısmında taslak form, nihai form, faktör yükleri, açıklanan varyans, uyum indeksleri ve güvenirlik katsayıları yeterli ayrıntıda verilmiştir.</w:t>
            </w:r>
          </w:p>
        </w:tc>
      </w:tr>
      <w:tr w:rsidR="00AD6E02" w14:paraId="16754B4D" w14:textId="77777777">
        <w:tc>
          <w:tcPr>
            <w:tcW w:w="9042" w:type="dxa"/>
          </w:tcPr>
          <w:p w14:paraId="4F87592F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 xml:space="preserve">☐ Tartışma bölümü yalnızca sonuçları tekrar etmemektedir. Bulguların literatürdeki karşılığı, kuramsal anlamı ve sınırlılıkları analitik biçimde tartışılmıştır. </w:t>
            </w:r>
          </w:p>
        </w:tc>
      </w:tr>
      <w:tr w:rsidR="00AD6E02" w14:paraId="3B06BE3C" w14:textId="77777777">
        <w:tc>
          <w:tcPr>
            <w:tcW w:w="9042" w:type="dxa"/>
          </w:tcPr>
          <w:p w14:paraId="2CD679AD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Tartışma bölümünde özellikle uyarlama çalışmalarında özgün yapıdan sapma varsa bunun nedenleri açıkça yorumlanmıştır.</w:t>
            </w:r>
          </w:p>
        </w:tc>
      </w:tr>
      <w:tr w:rsidR="00AD6E02" w14:paraId="4458EA58" w14:textId="77777777">
        <w:trPr>
          <w:trHeight w:val="260"/>
        </w:trPr>
        <w:tc>
          <w:tcPr>
            <w:tcW w:w="9042" w:type="dxa"/>
          </w:tcPr>
          <w:p w14:paraId="0CBCDC37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“Geçerli ve güvenilir ölçek geliştirilmiştir” gibi güçlü sonuç ifadeleri, yalnızca sunulan kanıt düzeyi bunu destekliyorsa kullanılmıştır. Yetersiz kanıt durumunda daha ihtiyatlı bir dil tercih edilmiştir.</w:t>
            </w:r>
          </w:p>
        </w:tc>
      </w:tr>
      <w:tr w:rsidR="00AD6E02" w14:paraId="35B3F3EF" w14:textId="77777777">
        <w:trPr>
          <w:trHeight w:val="260"/>
        </w:trPr>
        <w:tc>
          <w:tcPr>
            <w:tcW w:w="9042" w:type="dxa"/>
          </w:tcPr>
          <w:p w14:paraId="22230CEF" w14:textId="77777777" w:rsidR="00AD6E02" w:rsidRDefault="00000000">
            <w:pPr>
              <w:jc w:val="both"/>
              <w:rPr>
                <w:rFonts w:ascii="Georgia" w:eastAsia="Georgia" w:hAnsi="Georgia" w:cs="Georgia"/>
                <w:b/>
                <w:bCs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b/>
                <w:bCs/>
                <w:color w:val="111111"/>
                <w:sz w:val="24"/>
                <w:szCs w:val="24"/>
                <w:highlight w:val="white"/>
              </w:rPr>
              <w:t xml:space="preserve">K. EK DOSYA OLARAK YÜKLENMESİ ÖNERİLEN BELGELER </w:t>
            </w:r>
          </w:p>
        </w:tc>
      </w:tr>
      <w:tr w:rsidR="00AD6E02" w14:paraId="032BE1B0" w14:textId="77777777">
        <w:trPr>
          <w:trHeight w:val="260"/>
        </w:trPr>
        <w:tc>
          <w:tcPr>
            <w:tcW w:w="9042" w:type="dxa"/>
          </w:tcPr>
          <w:p w14:paraId="53A1D9C3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sdt>
              <w:sdtPr>
                <w:tag w:val="goog_rdk_0"/>
                <w:id w:val="-1781699286"/>
              </w:sdtPr>
              <w:sdtContent>
                <w:r>
                  <w:rPr>
                    <w:rFonts w:ascii="Cardo" w:eastAsia="Cardo" w:hAnsi="Cardo" w:cs="Cardo"/>
                    <w:color w:val="111111"/>
                    <w:sz w:val="24"/>
                    <w:szCs w:val="24"/>
                    <w:highlight w:val="white"/>
                  </w:rPr>
                  <w:t>☐ Taslak form</w:t>
                </w:r>
              </w:sdtContent>
            </w:sdt>
          </w:p>
        </w:tc>
      </w:tr>
      <w:tr w:rsidR="00AD6E02" w14:paraId="0829D33E" w14:textId="77777777">
        <w:trPr>
          <w:trHeight w:val="260"/>
        </w:trPr>
        <w:tc>
          <w:tcPr>
            <w:tcW w:w="9042" w:type="dxa"/>
          </w:tcPr>
          <w:p w14:paraId="457DDA3B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sdt>
              <w:sdtPr>
                <w:tag w:val="goog_rdk_1"/>
                <w:id w:val="-2064268142"/>
              </w:sdtPr>
              <w:sdtContent>
                <w:r>
                  <w:rPr>
                    <w:rFonts w:ascii="Cardo" w:eastAsia="Cardo" w:hAnsi="Cardo" w:cs="Cardo"/>
                    <w:color w:val="111111"/>
                    <w:sz w:val="24"/>
                    <w:szCs w:val="24"/>
                    <w:highlight w:val="white"/>
                  </w:rPr>
                  <w:t>☐ Nihai form</w:t>
                </w:r>
              </w:sdtContent>
            </w:sdt>
          </w:p>
        </w:tc>
      </w:tr>
      <w:tr w:rsidR="00AD6E02" w14:paraId="6F52A087" w14:textId="77777777">
        <w:trPr>
          <w:trHeight w:val="260"/>
        </w:trPr>
        <w:tc>
          <w:tcPr>
            <w:tcW w:w="9042" w:type="dxa"/>
          </w:tcPr>
          <w:p w14:paraId="4799B8C8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Uzman görüşü özeti veya değerlendirme tablosu</w:t>
            </w:r>
          </w:p>
        </w:tc>
      </w:tr>
      <w:tr w:rsidR="00AD6E02" w14:paraId="2AC82A35" w14:textId="77777777">
        <w:trPr>
          <w:trHeight w:val="260"/>
        </w:trPr>
        <w:tc>
          <w:tcPr>
            <w:tcW w:w="9042" w:type="dxa"/>
          </w:tcPr>
          <w:p w14:paraId="4FE54D02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Çıkarılan/değiştirilen maddelerin listesi</w:t>
            </w:r>
          </w:p>
        </w:tc>
      </w:tr>
      <w:tr w:rsidR="00AD6E02" w14:paraId="39811F32" w14:textId="77777777">
        <w:trPr>
          <w:trHeight w:val="260"/>
        </w:trPr>
        <w:tc>
          <w:tcPr>
            <w:tcW w:w="9042" w:type="dxa"/>
          </w:tcPr>
          <w:p w14:paraId="5C07FCFB" w14:textId="77777777" w:rsidR="00AD6E02" w:rsidRDefault="00000000">
            <w:pPr>
              <w:jc w:val="both"/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</w:pPr>
            <w:r>
              <w:rPr>
                <w:rFonts w:ascii="Georgia" w:eastAsia="Georgia" w:hAnsi="Georgia" w:cs="Georgia"/>
                <w:color w:val="111111"/>
                <w:sz w:val="24"/>
                <w:szCs w:val="24"/>
                <w:highlight w:val="white"/>
              </w:rPr>
              <w:t>☐ Gerekirse çeviri-geri çeviri sürecine ilişkin kısa rapor</w:t>
            </w:r>
          </w:p>
        </w:tc>
      </w:tr>
    </w:tbl>
    <w:p w14:paraId="29969E3A" w14:textId="77777777" w:rsidR="00AD6E02" w:rsidRDefault="00AD6E02">
      <w:pPr>
        <w:spacing w:after="0" w:line="240" w:lineRule="auto"/>
        <w:rPr>
          <w:rFonts w:ascii="Georgia" w:eastAsia="Georgia" w:hAnsi="Georgia" w:cs="Georgia"/>
          <w:sz w:val="24"/>
          <w:szCs w:val="24"/>
        </w:rPr>
      </w:pPr>
    </w:p>
    <w:sectPr w:rsidR="00AD6E02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C95DD" w14:textId="77777777" w:rsidR="001B2C45" w:rsidRDefault="001B2C45">
      <w:pPr>
        <w:spacing w:after="0" w:line="240" w:lineRule="auto"/>
      </w:pPr>
      <w:r>
        <w:separator/>
      </w:r>
    </w:p>
  </w:endnote>
  <w:endnote w:type="continuationSeparator" w:id="0">
    <w:p w14:paraId="6D940243" w14:textId="77777777" w:rsidR="001B2C45" w:rsidRDefault="001B2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133DB72-7F10-405A-9C7F-8CFE8131C5C9}"/>
    <w:embedItalic r:id="rId2" w:fontKey="{2951083C-1FD5-44B5-98EB-13CD7B1A97FF}"/>
  </w:font>
  <w:font w:name="Play">
    <w:charset w:val="00"/>
    <w:family w:val="auto"/>
    <w:pitch w:val="default"/>
    <w:embedRegular r:id="rId3" w:fontKey="{5DEF40A4-9F34-4C70-83E1-959B78B72DD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4" w:fontKey="{447A7F46-B129-4F12-A8E4-33A140A9A9DA}"/>
    <w:embedBold r:id="rId5" w:fontKey="{B429B053-B186-48F6-A9F9-F394AD69A8EC}"/>
    <w:embedItalic r:id="rId6" w:fontKey="{59441008-09C5-4627-81E4-DC0CD7B9D7F4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7" w:fontKey="{90978562-BD47-437E-8993-781D87098005}"/>
  </w:font>
  <w:font w:name="Cardo">
    <w:charset w:val="00"/>
    <w:family w:val="auto"/>
    <w:pitch w:val="default"/>
    <w:embedRegular r:id="rId8" w:fontKey="{E267AE0F-6982-48CC-AAF6-68987E3DF247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9" w:fontKey="{75B010DE-5F46-4E6B-B108-F300F86EE973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10" w:fontKey="{CC520577-34A6-4057-8A09-D9E7A6AE38F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204DE" w14:textId="77777777" w:rsidR="001B2C45" w:rsidRDefault="001B2C45">
      <w:pPr>
        <w:spacing w:after="0" w:line="240" w:lineRule="auto"/>
      </w:pPr>
      <w:r>
        <w:separator/>
      </w:r>
    </w:p>
  </w:footnote>
  <w:footnote w:type="continuationSeparator" w:id="0">
    <w:p w14:paraId="6057B1FB" w14:textId="77777777" w:rsidR="001B2C45" w:rsidRDefault="001B2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86D1A" w14:textId="77777777" w:rsidR="00AD6E02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Georgia" w:eastAsia="Georgia" w:hAnsi="Georgia" w:cs="Georgia"/>
      </w:rPr>
    </w:pPr>
    <w:r>
      <w:rPr>
        <w:rFonts w:ascii="Georgia" w:eastAsia="Georgia" w:hAnsi="Georgia" w:cs="Georgia"/>
        <w:i/>
        <w:iCs/>
        <w:color w:val="2E74B5"/>
        <w:sz w:val="20"/>
        <w:szCs w:val="20"/>
      </w:rPr>
      <w:t xml:space="preserve">Türk Akademik Yayınlar Dergisi (TAY </w:t>
    </w:r>
    <w:proofErr w:type="spellStart"/>
    <w:r>
      <w:rPr>
        <w:rFonts w:ascii="Georgia" w:eastAsia="Georgia" w:hAnsi="Georgia" w:cs="Georgia"/>
        <w:i/>
        <w:iCs/>
        <w:color w:val="2E74B5"/>
        <w:sz w:val="20"/>
        <w:szCs w:val="20"/>
      </w:rPr>
      <w:t>Journal</w:t>
    </w:r>
    <w:proofErr w:type="spellEnd"/>
    <w:r>
      <w:rPr>
        <w:rFonts w:ascii="Georgia" w:eastAsia="Georgia" w:hAnsi="Georgia" w:cs="Georgia"/>
        <w:i/>
        <w:iCs/>
        <w:color w:val="2E74B5"/>
        <w:sz w:val="20"/>
        <w:szCs w:val="20"/>
      </w:rPr>
      <w:t>)</w:t>
    </w:r>
  </w:p>
  <w:p w14:paraId="26DE640D" w14:textId="77777777" w:rsidR="00AD6E02" w:rsidRDefault="00AD6E0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02"/>
    <w:rsid w:val="001B2C45"/>
    <w:rsid w:val="00397E4F"/>
    <w:rsid w:val="00AD6E02"/>
    <w:rsid w:val="00F7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D64D"/>
  <w15:docId w15:val="{E6324638-2CD9-481E-9484-A11EAAF8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tr" w:eastAsia="tr-T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 w:line="259" w:lineRule="auto"/>
      <w:outlineLvl w:val="0"/>
    </w:pPr>
    <w:rPr>
      <w:rFonts w:ascii="Play" w:eastAsia="Play" w:hAnsi="Play" w:cs="Play"/>
      <w:color w:val="2E75B5"/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="Play" w:eastAsia="Play" w:hAnsi="Play" w:cs="Play"/>
      <w:color w:val="2E75B5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color w:val="2E75B5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i/>
      <w:iCs/>
      <w:color w:val="2E75B5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color w:val="2E75B5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i/>
      <w:iCs/>
      <w:color w:val="59595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Altyaz">
    <w:name w:val="Subtitle"/>
    <w:basedOn w:val="Normal"/>
    <w:next w:val="Normal"/>
    <w:uiPriority w:val="11"/>
    <w:qFormat/>
    <w:pPr>
      <w:spacing w:line="259" w:lineRule="auto"/>
    </w:pPr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FXa5DVsYkXgJZ/IDIbo7nyn0RQ==">CgMxLjAaGwoBMBIWChQIB0IQCgdHZW9yZ2lhEgVDYXJkbxobCgExEhYKFAgHQhAKB0dlb3JnaWESBUNhcmRvOAByITFOTmxPX3hER0I5c0tET3hGWHdkUDBuWjhYVUhfeG5FRw==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1150</Words>
  <Characters>6559</Characters>
  <Application>Microsoft Office Word</Application>
  <DocSecurity>0</DocSecurity>
  <Lines>54</Lines>
  <Paragraphs>15</Paragraphs>
  <ScaleCrop>false</ScaleCrop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Esra Nihlenur ŞEN</cp:lastModifiedBy>
  <cp:revision>2</cp:revision>
  <dcterms:created xsi:type="dcterms:W3CDTF">2026-07-16T17:34:00Z</dcterms:created>
  <dcterms:modified xsi:type="dcterms:W3CDTF">2026-07-16T17:35:00Z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0x010100E65E8813998F514AAF7482A06CC77A73</vt:lpwstr>
  </property>
</Properties>
</file>